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77" w:rsidRDefault="00907277" w:rsidP="00907277">
      <w:bookmarkStart w:id="0" w:name="_GoBack"/>
      <w:bookmarkEnd w:id="0"/>
      <w:r>
        <w:t>Приложение 1</w:t>
      </w:r>
    </w:p>
    <w:p w:rsidR="00907277" w:rsidRDefault="00907277" w:rsidP="00907277">
      <w:pPr>
        <w:jc w:val="center"/>
        <w:rPr>
          <w:b/>
        </w:rPr>
      </w:pPr>
      <w:r>
        <w:rPr>
          <w:b/>
        </w:rPr>
        <w:t>Финансирование мероприятий Программы</w:t>
      </w:r>
    </w:p>
    <w:p w:rsidR="00907277" w:rsidRDefault="00907277" w:rsidP="00907277">
      <w:pPr>
        <w:jc w:val="center"/>
        <w:rPr>
          <w:b/>
        </w:rPr>
      </w:pPr>
    </w:p>
    <w:tbl>
      <w:tblPr>
        <w:tblW w:w="147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5667"/>
        <w:gridCol w:w="1144"/>
        <w:gridCol w:w="1601"/>
        <w:gridCol w:w="1257"/>
        <w:gridCol w:w="908"/>
        <w:gridCol w:w="899"/>
        <w:gridCol w:w="901"/>
        <w:gridCol w:w="942"/>
        <w:gridCol w:w="850"/>
      </w:tblGrid>
      <w:tr w:rsidR="00907277" w:rsidTr="00907277">
        <w:trPr>
          <w:tblCellSpacing w:w="0" w:type="dxa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годам,  руб.</w:t>
            </w:r>
          </w:p>
        </w:tc>
      </w:tr>
      <w:tr w:rsidR="00907277" w:rsidTr="00907277">
        <w:trPr>
          <w:tblCellSpacing w:w="0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7" w:rsidRDefault="00907277">
            <w:pPr>
              <w:rPr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7" w:rsidRDefault="00907277">
            <w:pPr>
              <w:rPr>
                <w:lang w:eastAsia="en-US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7" w:rsidRDefault="00907277">
            <w:pPr>
              <w:rPr>
                <w:lang w:eastAsia="en-US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7" w:rsidRDefault="00907277">
            <w:pPr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907277" w:rsidTr="00907277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907277" w:rsidTr="00907277">
        <w:trPr>
          <w:trHeight w:val="1105"/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обследования территории 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  <w:r w:rsidR="009435F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="005079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5079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507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435F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435F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</w:tr>
      <w:tr w:rsidR="00907277" w:rsidTr="00907277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уничтожению борщевика:</w:t>
            </w:r>
          </w:p>
          <w:p w:rsidR="00907277" w:rsidRDefault="00907277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Механический метод</w:t>
            </w:r>
            <w:r>
              <w:rPr>
                <w:lang w:eastAsia="en-US"/>
              </w:rPr>
              <w:t xml:space="preserve"> -  многократное скашивание (не менее 3 раз за сезон), начиная с фазы розетки и до начала бутонизации.</w:t>
            </w:r>
          </w:p>
          <w:p w:rsidR="00907277" w:rsidRDefault="00907277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Химический метод</w:t>
            </w:r>
            <w:r>
              <w:rPr>
                <w:lang w:eastAsia="en-US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738</w:t>
            </w:r>
            <w:r w:rsidR="009435F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  <w:p w:rsidR="00907277" w:rsidRDefault="00507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112 000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507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  <w:r w:rsidR="00907277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  <w:r w:rsidR="00907277">
              <w:rPr>
                <w:lang w:eastAsia="en-US"/>
              </w:rPr>
              <w:t>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3E70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907277">
              <w:rPr>
                <w:lang w:eastAsia="en-US"/>
              </w:rPr>
              <w:t>0</w:t>
            </w:r>
            <w:r w:rsidR="0050794B">
              <w:rPr>
                <w:lang w:eastAsia="en-US"/>
              </w:rPr>
              <w:t xml:space="preserve"> </w:t>
            </w:r>
            <w:r w:rsidR="00907277">
              <w:rPr>
                <w:lang w:eastAsia="en-US"/>
              </w:rPr>
              <w:t>000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079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  <w:r w:rsidR="005079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E7026">
              <w:rPr>
                <w:lang w:eastAsia="en-US"/>
              </w:rPr>
              <w:t>5</w:t>
            </w:r>
            <w:r w:rsidR="0050794B">
              <w:rPr>
                <w:lang w:eastAsia="en-US"/>
              </w:rPr>
              <w:t>0 000</w:t>
            </w:r>
          </w:p>
          <w:p w:rsidR="00907277" w:rsidRDefault="00507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507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907277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  <w:r w:rsidR="00907277">
              <w:rPr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  <w:r w:rsidR="005079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  <w:r w:rsidR="005079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 w:rsidR="005079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  <w:r w:rsidR="005079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  <w:r w:rsidR="005079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 w:rsidR="005079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</w:tr>
      <w:tr w:rsidR="00907277" w:rsidTr="00907277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оценки эффективности проведенных химических мероприятий после каждой обработки.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2016-2020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50794B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5079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50794B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07277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</w:t>
            </w:r>
            <w:r w:rsidR="00907277">
              <w:rPr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435F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435F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</w:tr>
    </w:tbl>
    <w:p w:rsidR="00907277" w:rsidRDefault="00907277" w:rsidP="00173126">
      <w:pPr>
        <w:autoSpaceDE w:val="0"/>
        <w:autoSpaceDN w:val="0"/>
        <w:adjustRightInd w:val="0"/>
        <w:jc w:val="both"/>
        <w:rPr>
          <w:color w:val="FF0000"/>
        </w:rPr>
      </w:pPr>
    </w:p>
    <w:p w:rsidR="00907277" w:rsidRDefault="00907277" w:rsidP="00173126">
      <w:pPr>
        <w:autoSpaceDE w:val="0"/>
        <w:autoSpaceDN w:val="0"/>
        <w:adjustRightInd w:val="0"/>
        <w:jc w:val="both"/>
      </w:pPr>
      <w:r>
        <w:t>Основные целевые индикаторы реализации программы</w:t>
      </w:r>
    </w:p>
    <w:p w:rsidR="00907277" w:rsidRDefault="00907277" w:rsidP="00173126">
      <w:pPr>
        <w:autoSpaceDE w:val="0"/>
        <w:autoSpaceDN w:val="0"/>
        <w:adjustRightInd w:val="0"/>
        <w:jc w:val="both"/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4"/>
        <w:gridCol w:w="1560"/>
        <w:gridCol w:w="1275"/>
        <w:gridCol w:w="1276"/>
        <w:gridCol w:w="1559"/>
        <w:gridCol w:w="1701"/>
      </w:tblGrid>
      <w:tr w:rsidR="00907277" w:rsidTr="00907277">
        <w:trPr>
          <w:cantSplit/>
          <w:trHeight w:val="240"/>
        </w:trPr>
        <w:tc>
          <w:tcPr>
            <w:tcW w:w="7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</w:tc>
      </w:tr>
      <w:tr w:rsidR="00907277" w:rsidTr="00907277">
        <w:trPr>
          <w:cantSplit/>
          <w:trHeight w:val="600"/>
        </w:trPr>
        <w:tc>
          <w:tcPr>
            <w:tcW w:w="7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7277" w:rsidRDefault="00907277" w:rsidP="00173126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907277" w:rsidTr="00907277">
        <w:trPr>
          <w:cantSplit/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277" w:rsidRDefault="00907277" w:rsidP="001731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Освобождение площади от борщевика Сосновского - всего, </w:t>
            </w:r>
            <w:proofErr w:type="gramStart"/>
            <w:r>
              <w:rPr>
                <w:lang w:eastAsia="en-US"/>
              </w:rPr>
              <w:t>га</w:t>
            </w:r>
            <w:proofErr w:type="gramEnd"/>
            <w:r>
              <w:rPr>
                <w:lang w:eastAsia="en-US"/>
              </w:rPr>
              <w:t xml:space="preserve">          </w:t>
            </w: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1.1 Механический метод обработки</w:t>
            </w: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1.2.  Химический метод   обработки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8946FE">
              <w:rPr>
                <w:lang w:eastAsia="en-US"/>
              </w:rPr>
              <w:t>,2</w:t>
            </w: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8946FE">
              <w:rPr>
                <w:lang w:eastAsia="en-US"/>
              </w:rPr>
              <w:t>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8946FE">
              <w:rPr>
                <w:lang w:eastAsia="en-US"/>
              </w:rPr>
              <w:t>,2</w:t>
            </w: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8946FE">
              <w:rPr>
                <w:lang w:eastAsia="en-US"/>
              </w:rPr>
              <w:t>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8946FE">
              <w:rPr>
                <w:lang w:eastAsia="en-US"/>
              </w:rPr>
              <w:t>,2</w:t>
            </w: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8946FE">
              <w:rPr>
                <w:lang w:eastAsia="en-US"/>
              </w:rPr>
              <w:t>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8946FE">
              <w:rPr>
                <w:lang w:eastAsia="en-US"/>
              </w:rPr>
              <w:t>,2</w:t>
            </w: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8946FE">
              <w:rPr>
                <w:lang w:eastAsia="en-US"/>
              </w:rPr>
              <w:t>,2</w:t>
            </w:r>
          </w:p>
        </w:tc>
      </w:tr>
    </w:tbl>
    <w:p w:rsidR="002A10A2" w:rsidRDefault="002A10A2" w:rsidP="00173126">
      <w:pPr>
        <w:jc w:val="both"/>
      </w:pPr>
    </w:p>
    <w:p w:rsidR="00713C87" w:rsidRPr="00713C87" w:rsidRDefault="00173126" w:rsidP="003E7026">
      <w:pPr>
        <w:spacing w:before="100" w:beforeAutospacing="1" w:after="100" w:afterAutospacing="1"/>
        <w:jc w:val="both"/>
      </w:pPr>
      <w:r w:rsidRPr="00173126">
        <w:t xml:space="preserve">                </w:t>
      </w:r>
    </w:p>
    <w:p w:rsidR="00713C87" w:rsidRDefault="00713C8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13C87" w:rsidRDefault="00713C8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13C87" w:rsidRDefault="00713C8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13C87" w:rsidRDefault="00713C8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C64760" w:rsidRDefault="00C64760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C64760" w:rsidRDefault="00C64760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C64760" w:rsidRDefault="00C64760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Pr="00173126" w:rsidRDefault="007A40A7" w:rsidP="007A40A7">
      <w:pPr>
        <w:ind w:right="120"/>
        <w:jc w:val="right"/>
        <w:rPr>
          <w:b/>
          <w:sz w:val="28"/>
          <w:szCs w:val="28"/>
        </w:rPr>
      </w:pPr>
    </w:p>
    <w:p w:rsidR="007A40A7" w:rsidRPr="00173126" w:rsidRDefault="007A40A7" w:rsidP="007A40A7">
      <w:pPr>
        <w:ind w:right="120"/>
        <w:jc w:val="right"/>
        <w:rPr>
          <w:b/>
          <w:sz w:val="28"/>
          <w:szCs w:val="28"/>
        </w:rPr>
      </w:pPr>
      <w:r w:rsidRPr="00173126">
        <w:rPr>
          <w:b/>
          <w:sz w:val="28"/>
          <w:szCs w:val="28"/>
        </w:rPr>
        <w:t xml:space="preserve">Утверждена </w:t>
      </w:r>
    </w:p>
    <w:p w:rsidR="007A40A7" w:rsidRPr="00173126" w:rsidRDefault="007A40A7" w:rsidP="007A40A7">
      <w:pPr>
        <w:ind w:right="120"/>
        <w:jc w:val="right"/>
        <w:rPr>
          <w:sz w:val="28"/>
          <w:szCs w:val="28"/>
        </w:rPr>
      </w:pPr>
      <w:r w:rsidRPr="00173126">
        <w:rPr>
          <w:sz w:val="28"/>
          <w:szCs w:val="28"/>
        </w:rPr>
        <w:t>постановлением администрации</w:t>
      </w:r>
    </w:p>
    <w:p w:rsidR="007A40A7" w:rsidRPr="00173126" w:rsidRDefault="007A40A7" w:rsidP="007A40A7">
      <w:pPr>
        <w:ind w:right="120"/>
        <w:jc w:val="right"/>
        <w:rPr>
          <w:sz w:val="28"/>
          <w:szCs w:val="28"/>
        </w:rPr>
      </w:pPr>
      <w:r w:rsidRPr="00173126">
        <w:rPr>
          <w:sz w:val="28"/>
          <w:szCs w:val="28"/>
        </w:rPr>
        <w:t>Борского сельского поселения</w:t>
      </w:r>
    </w:p>
    <w:p w:rsidR="007A40A7" w:rsidRPr="00173126" w:rsidRDefault="007A40A7" w:rsidP="007A40A7">
      <w:pPr>
        <w:ind w:right="120"/>
        <w:jc w:val="right"/>
        <w:rPr>
          <w:sz w:val="28"/>
          <w:szCs w:val="28"/>
        </w:rPr>
      </w:pPr>
      <w:r w:rsidRPr="00173126">
        <w:rPr>
          <w:sz w:val="28"/>
          <w:szCs w:val="28"/>
        </w:rPr>
        <w:t xml:space="preserve">от 11.12.2015  № 201 </w:t>
      </w: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Pr="00173126" w:rsidRDefault="007A40A7" w:rsidP="007A40A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A40A7" w:rsidRPr="007A40A7" w:rsidRDefault="007A40A7" w:rsidP="007A40A7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Муниципальная </w:t>
      </w:r>
      <w:r w:rsidR="00173126" w:rsidRPr="00173126">
        <w:rPr>
          <w:b/>
          <w:bCs/>
          <w:sz w:val="28"/>
          <w:szCs w:val="28"/>
        </w:rPr>
        <w:t>программа</w:t>
      </w:r>
    </w:p>
    <w:p w:rsidR="00173126" w:rsidRPr="007A40A7" w:rsidRDefault="007A40A7" w:rsidP="007A40A7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73126" w:rsidRPr="00173126">
        <w:rPr>
          <w:b/>
          <w:sz w:val="28"/>
          <w:szCs w:val="28"/>
        </w:rPr>
        <w:t>«Борьба с борщевиком Сосновского на территории Борского</w:t>
      </w:r>
    </w:p>
    <w:p w:rsidR="00173126" w:rsidRPr="00173126" w:rsidRDefault="007A40A7" w:rsidP="007A4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сельского поселения на 2016-</w:t>
      </w:r>
      <w:r w:rsidR="00173126" w:rsidRPr="00173126">
        <w:rPr>
          <w:b/>
          <w:sz w:val="28"/>
          <w:szCs w:val="28"/>
        </w:rPr>
        <w:t>2020 годы»</w:t>
      </w:r>
    </w:p>
    <w:p w:rsidR="00173126" w:rsidRPr="00173126" w:rsidRDefault="00173126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73126" w:rsidRPr="00173126" w:rsidRDefault="00173126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73126" w:rsidRPr="00173126" w:rsidRDefault="00173126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73126" w:rsidRPr="00173126" w:rsidRDefault="00173126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73126" w:rsidRPr="00173126" w:rsidRDefault="00173126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73126" w:rsidRDefault="00173126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73126" w:rsidRDefault="00173126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73126" w:rsidRPr="00173126" w:rsidRDefault="00173126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73126" w:rsidRPr="00173126" w:rsidRDefault="00173126" w:rsidP="001731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73126">
        <w:rPr>
          <w:b/>
          <w:bCs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8216"/>
      </w:tblGrid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Наименование</w:t>
            </w:r>
          </w:p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Муниципальная программа «Борьба с борщевиком Сосновского на территории Борского сельского поселения  на 2016-2020 годы»</w:t>
            </w:r>
          </w:p>
        </w:tc>
      </w:tr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ind w:left="165" w:right="105" w:firstLine="1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Сокращение очагов распространения борщевика Сосновского на территории сельского поселения и улучшение качественного состояния земель путем его локализации и ликвидации.</w:t>
            </w:r>
          </w:p>
        </w:tc>
      </w:tr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ind w:left="165" w:right="105" w:firstLine="1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Объем и источники</w:t>
            </w:r>
          </w:p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финансирования</w:t>
            </w:r>
          </w:p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Планируемый общий объем финансирования Программы  из местного бюджета составляет: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796 000рублей, в том числе: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2016 год -90 000 руб.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2017 год- 150 000 руб.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2018 год -150 000 руб.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2019 год- 203 000 руб.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2020 год- 203 000 руб.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Источники финансирования: местный бюджет, объем финансирования Программы корректируется  ежегодно после принятия решения о бюджете Борского сельского поселения на очередной финансовый год.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</w:p>
        </w:tc>
      </w:tr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Показатели эффективности</w:t>
            </w:r>
          </w:p>
          <w:p w:rsidR="00173126" w:rsidRPr="00173126" w:rsidRDefault="00173126" w:rsidP="00173126">
            <w:pPr>
              <w:jc w:val="both"/>
              <w:rPr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1.Уничтожение борщевика на землях населённых пунктов, входящих в состав Борского сельского поселения.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2.Ликвидация угрозы неконтролируемого распространения борщевика на всей территории Борского сельского поселения.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3. Исключение случаев травматизма среди населения.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</w:p>
        </w:tc>
      </w:tr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Основные индикаторы реализации Программы</w:t>
            </w: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Освобождение от борщевика Сосновского 32,2 га на территории Борского сельского поселения</w:t>
            </w:r>
          </w:p>
        </w:tc>
      </w:tr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Правовая основа</w:t>
            </w:r>
          </w:p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Федеральный закон от 6 октября 2003  года  № 131-ФЗ  «Об общих   принципах    организации   местного самоуправления в Российской Федерации»;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Федеральный закон от 10 января 2002 года №  7-ФЗ  "Об охране окружающей среды";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</w:p>
        </w:tc>
      </w:tr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Разработчик</w:t>
            </w:r>
          </w:p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Программы</w:t>
            </w:r>
          </w:p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Администрация Борского сельского поселения</w:t>
            </w:r>
          </w:p>
        </w:tc>
      </w:tr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Сроки реализации</w:t>
            </w:r>
          </w:p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Программы</w:t>
            </w:r>
          </w:p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2016-2020 годы</w:t>
            </w:r>
          </w:p>
          <w:p w:rsidR="00173126" w:rsidRPr="00173126" w:rsidRDefault="00173126" w:rsidP="00173126">
            <w:pPr>
              <w:ind w:right="105"/>
              <w:jc w:val="both"/>
              <w:rPr>
                <w:sz w:val="28"/>
                <w:szCs w:val="28"/>
              </w:rPr>
            </w:pPr>
          </w:p>
        </w:tc>
      </w:tr>
    </w:tbl>
    <w:p w:rsidR="00173126" w:rsidRPr="00173126" w:rsidRDefault="00173126" w:rsidP="00173126">
      <w:pPr>
        <w:spacing w:before="100" w:beforeAutospacing="1" w:after="100" w:afterAutospacing="1"/>
        <w:jc w:val="center"/>
        <w:rPr>
          <w:sz w:val="28"/>
          <w:szCs w:val="28"/>
        </w:rPr>
      </w:pPr>
      <w:r w:rsidRPr="00173126">
        <w:rPr>
          <w:b/>
          <w:bCs/>
          <w:sz w:val="28"/>
          <w:szCs w:val="28"/>
        </w:rPr>
        <w:lastRenderedPageBreak/>
        <w:t>Раздел 2. Общие положения и обоснование Программы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173126">
        <w:rPr>
          <w:sz w:val="28"/>
          <w:szCs w:val="28"/>
        </w:rPr>
        <w:t>        1</w:t>
      </w:r>
      <w:r w:rsidRPr="00173126">
        <w:rPr>
          <w:i/>
          <w:sz w:val="28"/>
          <w:szCs w:val="28"/>
        </w:rPr>
        <w:t>. Анализ ситуации. Цели и задачи Программы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173126">
        <w:rPr>
          <w:sz w:val="28"/>
          <w:szCs w:val="28"/>
        </w:rPr>
        <w:t>фурокумарины</w:t>
      </w:r>
      <w:proofErr w:type="spellEnd"/>
      <w:r w:rsidRPr="00173126">
        <w:rPr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 w:rsidRPr="00173126">
        <w:rPr>
          <w:sz w:val="28"/>
          <w:szCs w:val="28"/>
        </w:rPr>
        <w:t>фитоэкстрогены</w:t>
      </w:r>
      <w:proofErr w:type="spellEnd"/>
      <w:r w:rsidRPr="00173126">
        <w:rPr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>Целями Программы являются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 xml:space="preserve">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173126" w:rsidRPr="00173126" w:rsidRDefault="00173126" w:rsidP="00173126">
      <w:pPr>
        <w:jc w:val="both"/>
        <w:rPr>
          <w:b/>
          <w:bCs/>
          <w:sz w:val="28"/>
          <w:szCs w:val="28"/>
        </w:rPr>
      </w:pPr>
      <w:r w:rsidRPr="00173126">
        <w:rPr>
          <w:sz w:val="28"/>
          <w:szCs w:val="28"/>
        </w:rPr>
        <w:t>В результате реализации Программы планируется освободить от борщевика Сосновского 32,2 га земель Борского сельского поселения.</w:t>
      </w:r>
    </w:p>
    <w:p w:rsidR="00173126" w:rsidRPr="00173126" w:rsidRDefault="00173126" w:rsidP="00173126">
      <w:pPr>
        <w:jc w:val="both"/>
        <w:rPr>
          <w:sz w:val="28"/>
          <w:szCs w:val="28"/>
        </w:rPr>
      </w:pPr>
      <w:r w:rsidRPr="00173126">
        <w:rPr>
          <w:sz w:val="28"/>
          <w:szCs w:val="28"/>
        </w:rPr>
        <w:t xml:space="preserve">      Мероприятия по реализации Программы предусматривают </w:t>
      </w:r>
    </w:p>
    <w:p w:rsidR="00173126" w:rsidRPr="00173126" w:rsidRDefault="00173126" w:rsidP="00173126">
      <w:pPr>
        <w:jc w:val="both"/>
        <w:rPr>
          <w:sz w:val="28"/>
          <w:szCs w:val="28"/>
        </w:rPr>
      </w:pPr>
      <w:r w:rsidRPr="00173126">
        <w:rPr>
          <w:sz w:val="28"/>
          <w:szCs w:val="28"/>
        </w:rPr>
        <w:t xml:space="preserve">- 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173126" w:rsidRPr="00173126" w:rsidRDefault="00173126" w:rsidP="00173126">
      <w:pPr>
        <w:jc w:val="both"/>
        <w:rPr>
          <w:sz w:val="28"/>
          <w:szCs w:val="28"/>
        </w:rPr>
      </w:pPr>
      <w:r w:rsidRPr="00173126">
        <w:rPr>
          <w:sz w:val="28"/>
          <w:szCs w:val="28"/>
        </w:rPr>
        <w:t xml:space="preserve">- механический метод - многократное скашивание (не менее 3 раз за сезон), начиная с фазы розетки и до начала бутонизации; </w:t>
      </w:r>
    </w:p>
    <w:p w:rsidR="00173126" w:rsidRPr="00173126" w:rsidRDefault="00173126" w:rsidP="00173126">
      <w:pPr>
        <w:jc w:val="both"/>
        <w:rPr>
          <w:sz w:val="28"/>
          <w:szCs w:val="28"/>
        </w:rPr>
      </w:pPr>
      <w:r w:rsidRPr="00173126">
        <w:rPr>
          <w:sz w:val="28"/>
          <w:szCs w:val="28"/>
        </w:rPr>
        <w:t xml:space="preserve">- химический метод - применение гербицидов сплошного действия на заросших участках 2 раза, 1-й раз - май, июнь, 2-й раз - август, сентябрь. </w:t>
      </w:r>
    </w:p>
    <w:p w:rsidR="00173126" w:rsidRPr="00173126" w:rsidRDefault="00173126" w:rsidP="00173126">
      <w:pPr>
        <w:jc w:val="both"/>
        <w:rPr>
          <w:sz w:val="28"/>
          <w:szCs w:val="28"/>
        </w:rPr>
      </w:pPr>
      <w:r w:rsidRPr="00173126">
        <w:rPr>
          <w:sz w:val="28"/>
          <w:szCs w:val="28"/>
        </w:rPr>
        <w:t xml:space="preserve">- оценка эффективности проведенного комплекса мероприятий Программы. </w:t>
      </w:r>
    </w:p>
    <w:p w:rsidR="00173126" w:rsidRPr="00173126" w:rsidRDefault="00173126" w:rsidP="00173126">
      <w:pPr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>Проведение работ по борьбе борщевиком Сосновского на каждом земельном участке в течение 5 лет.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 xml:space="preserve">Общий </w:t>
      </w:r>
      <w:proofErr w:type="gramStart"/>
      <w:r w:rsidRPr="00173126">
        <w:rPr>
          <w:sz w:val="28"/>
          <w:szCs w:val="28"/>
        </w:rPr>
        <w:t>контроль за</w:t>
      </w:r>
      <w:proofErr w:type="gramEnd"/>
      <w:r w:rsidRPr="00173126">
        <w:rPr>
          <w:sz w:val="28"/>
          <w:szCs w:val="28"/>
        </w:rPr>
        <w:t xml:space="preserve"> реализацией мероприятий Программы осуществляет Глава администрации сельского поселения. Оценка эффективности проведенного комплекса мероприятий Программы осуществляется на основании контрактов, заключенных со </w:t>
      </w:r>
      <w:proofErr w:type="gramStart"/>
      <w:r w:rsidRPr="00173126">
        <w:rPr>
          <w:sz w:val="28"/>
          <w:szCs w:val="28"/>
        </w:rPr>
        <w:t xml:space="preserve">специализированной организацией, имеющей право на выполнение данного вида </w:t>
      </w:r>
      <w:r w:rsidRPr="00173126">
        <w:rPr>
          <w:sz w:val="28"/>
          <w:szCs w:val="28"/>
        </w:rPr>
        <w:lastRenderedPageBreak/>
        <w:t>работ</w:t>
      </w:r>
      <w:r w:rsidRPr="00173126">
        <w:rPr>
          <w:color w:val="FF0000"/>
          <w:sz w:val="28"/>
          <w:szCs w:val="28"/>
        </w:rPr>
        <w:t xml:space="preserve"> </w:t>
      </w:r>
      <w:r w:rsidRPr="00173126">
        <w:rPr>
          <w:sz w:val="28"/>
          <w:szCs w:val="28"/>
        </w:rPr>
        <w:t>и проводится</w:t>
      </w:r>
      <w:proofErr w:type="gramEnd"/>
      <w:r w:rsidRPr="00173126">
        <w:rPr>
          <w:sz w:val="28"/>
          <w:szCs w:val="28"/>
        </w:rPr>
        <w:t xml:space="preserve"> после завершения каждого этапа химической обработки. 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Pr="00173126" w:rsidRDefault="00173126">
      <w:pPr>
        <w:rPr>
          <w:sz w:val="28"/>
          <w:szCs w:val="28"/>
        </w:rPr>
      </w:pPr>
    </w:p>
    <w:sectPr w:rsidR="00173126" w:rsidRPr="00173126" w:rsidSect="00C64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44" w:rsidRDefault="00535044" w:rsidP="00F043F9">
      <w:r>
        <w:separator/>
      </w:r>
    </w:p>
  </w:endnote>
  <w:endnote w:type="continuationSeparator" w:id="0">
    <w:p w:rsidR="00535044" w:rsidRDefault="00535044" w:rsidP="00F0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44" w:rsidRDefault="00535044" w:rsidP="00F043F9">
      <w:r>
        <w:separator/>
      </w:r>
    </w:p>
  </w:footnote>
  <w:footnote w:type="continuationSeparator" w:id="0">
    <w:p w:rsidR="00535044" w:rsidRDefault="00535044" w:rsidP="00F04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45403"/>
    <w:multiLevelType w:val="hybridMultilevel"/>
    <w:tmpl w:val="3C921006"/>
    <w:lvl w:ilvl="0" w:tplc="F6E072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15B90"/>
    <w:multiLevelType w:val="hybridMultilevel"/>
    <w:tmpl w:val="71D44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BD"/>
    <w:rsid w:val="000D4B5D"/>
    <w:rsid w:val="00173126"/>
    <w:rsid w:val="002860E3"/>
    <w:rsid w:val="002934CA"/>
    <w:rsid w:val="002A10A2"/>
    <w:rsid w:val="003E7026"/>
    <w:rsid w:val="0050794B"/>
    <w:rsid w:val="00535044"/>
    <w:rsid w:val="005B45E1"/>
    <w:rsid w:val="006D5BC9"/>
    <w:rsid w:val="00713C87"/>
    <w:rsid w:val="007A40A7"/>
    <w:rsid w:val="008326BD"/>
    <w:rsid w:val="008946FE"/>
    <w:rsid w:val="008C0C56"/>
    <w:rsid w:val="00907277"/>
    <w:rsid w:val="009435F2"/>
    <w:rsid w:val="00946610"/>
    <w:rsid w:val="00B07F90"/>
    <w:rsid w:val="00B2618F"/>
    <w:rsid w:val="00C64760"/>
    <w:rsid w:val="00F043F9"/>
    <w:rsid w:val="00F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3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043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43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6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3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043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43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6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63AD-F429-4FD2-831F-19FD9BDC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2018-03-13T09:18:00Z</cp:lastPrinted>
  <dcterms:created xsi:type="dcterms:W3CDTF">2018-01-24T08:28:00Z</dcterms:created>
  <dcterms:modified xsi:type="dcterms:W3CDTF">2018-05-04T12:26:00Z</dcterms:modified>
</cp:coreProperties>
</file>