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Администрация </w:t>
      </w: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Борского сельского поселения </w:t>
      </w: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Бокситогорского муниципального района Ленинградской области</w:t>
      </w: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ПОСТАНОВЛЕНИЕ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428"/>
        <w:gridCol w:w="5412"/>
        <w:gridCol w:w="1404"/>
      </w:tblGrid>
      <w:tr w:rsidR="00EC6120" w:rsidTr="00EC6120">
        <w:trPr>
          <w:trHeight w:val="536"/>
        </w:trPr>
        <w:tc>
          <w:tcPr>
            <w:tcW w:w="3554" w:type="dxa"/>
            <w:hideMark/>
          </w:tcPr>
          <w:p w:rsidR="00EC6120" w:rsidRDefault="00EC6120" w:rsidP="00EC6120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</w:t>
            </w:r>
            <w:r>
              <w:rPr>
                <w:sz w:val="28"/>
                <w:szCs w:val="28"/>
                <w:lang w:eastAsia="zh-CN"/>
              </w:rPr>
              <w:t xml:space="preserve">  2022 года  </w:t>
            </w:r>
          </w:p>
        </w:tc>
        <w:tc>
          <w:tcPr>
            <w:tcW w:w="5660" w:type="dxa"/>
          </w:tcPr>
          <w:p w:rsidR="00EC6120" w:rsidRDefault="00EC6120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8" w:type="dxa"/>
            <w:hideMark/>
          </w:tcPr>
          <w:p w:rsidR="00EC6120" w:rsidRDefault="00EC6120" w:rsidP="00EC6120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</w:tbl>
    <w:p w:rsidR="00EC6120" w:rsidRDefault="00EC6120" w:rsidP="00EC612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EC6120" w:rsidRDefault="00EC6120" w:rsidP="00EC6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b/>
          <w:bCs/>
          <w:sz w:val="28"/>
          <w:szCs w:val="28"/>
        </w:rPr>
        <w:t>»</w:t>
      </w:r>
    </w:p>
    <w:p w:rsidR="00EC6120" w:rsidRDefault="00EC6120" w:rsidP="00EC6120">
      <w:pPr>
        <w:jc w:val="center"/>
        <w:rPr>
          <w:b/>
          <w:bCs/>
        </w:rPr>
      </w:pPr>
    </w:p>
    <w:p w:rsidR="00EC6120" w:rsidRDefault="00EC6120" w:rsidP="00EC6120">
      <w:pPr>
        <w:ind w:firstLine="708"/>
        <w:jc w:val="both"/>
      </w:pPr>
      <w:proofErr w:type="gramStart"/>
      <w:r>
        <w:t xml:space="preserve">В соответствии с Жилищным кодексом Российской Федерации, </w:t>
      </w:r>
      <w:r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Борского сельского поселения Бокситогорского муниципального района Ленинградской области от 4 августа 2014 года № 84 «О разработке и утверждении административных регламентов исполнения муниципальных функций (предоставления муниципальных услуг)», законом Ленинградской области от 26 октября 2005 года № 89-оз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</w:p>
    <w:p w:rsidR="00EC6120" w:rsidRDefault="00EC6120" w:rsidP="00EC6120">
      <w:pPr>
        <w:ind w:firstLine="708"/>
        <w:jc w:val="both"/>
      </w:pPr>
      <w:r>
        <w:t xml:space="preserve"> </w:t>
      </w:r>
    </w:p>
    <w:p w:rsidR="00EC6120" w:rsidRDefault="00EC6120" w:rsidP="00EC6120">
      <w:pPr>
        <w:ind w:firstLine="708"/>
        <w:jc w:val="both"/>
      </w:pPr>
      <w:r>
        <w:t>ПОСТАНОВЛЯЮ:</w:t>
      </w:r>
    </w:p>
    <w:p w:rsidR="00EC6120" w:rsidRPr="00EC6120" w:rsidRDefault="00EC6120" w:rsidP="00EC6120">
      <w:pPr>
        <w:pStyle w:val="1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20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EC6120">
        <w:rPr>
          <w:rFonts w:ascii="Times New Roman" w:hAnsi="Times New Roman" w:cs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EC6120">
        <w:rPr>
          <w:rFonts w:ascii="Times New Roman" w:hAnsi="Times New Roman" w:cs="Times New Roman"/>
          <w:sz w:val="24"/>
          <w:szCs w:val="24"/>
        </w:rPr>
        <w:t>».</w:t>
      </w:r>
    </w:p>
    <w:p w:rsidR="00EC6120" w:rsidRDefault="00EC6120" w:rsidP="00EC6120">
      <w:pPr>
        <w:pStyle w:val="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Постановление разместить (опубликовать) на официальном сайте Борского сельского поселения Бокситогорского муниципального района.</w:t>
      </w:r>
    </w:p>
    <w:p w:rsidR="00EC6120" w:rsidRDefault="00EC6120" w:rsidP="00EC6120">
      <w:pPr>
        <w:ind w:firstLine="567"/>
        <w:jc w:val="both"/>
      </w:pPr>
      <w:r>
        <w:t>4. Постановление вступает в силу со дня официального опубликования.</w:t>
      </w:r>
    </w:p>
    <w:p w:rsidR="00EC6120" w:rsidRDefault="00EC6120" w:rsidP="00EC6120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  оставляю   за  собой.</w:t>
      </w: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jc w:val="both"/>
        <w:rPr>
          <w:u w:val="single"/>
        </w:rPr>
      </w:pPr>
      <w:r>
        <w:rPr>
          <w:u w:val="single"/>
        </w:rPr>
        <w:t>Глава администрации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  <w:t xml:space="preserve">В.Н. Сумерин       </w:t>
      </w:r>
    </w:p>
    <w:p w:rsidR="00EC6120" w:rsidRDefault="00EC6120" w:rsidP="00EC6120">
      <w:pPr>
        <w:jc w:val="both"/>
      </w:pPr>
      <w:r>
        <w:t>Разослано:   регистр МНПА, прокуратура, в дело.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EC6120" w:rsidRDefault="00EC6120" w:rsidP="00EC6120">
      <w:pPr>
        <w:rPr>
          <w:b/>
          <w:bCs/>
          <w:sz w:val="28"/>
          <w:szCs w:val="28"/>
        </w:rPr>
        <w:sectPr w:rsidR="00EC6120">
          <w:pgSz w:w="11906" w:h="16838"/>
          <w:pgMar w:top="709" w:right="850" w:bottom="284" w:left="1134" w:header="708" w:footer="708" w:gutter="0"/>
          <w:cols w:space="720"/>
        </w:sectPr>
      </w:pPr>
    </w:p>
    <w:p w:rsidR="00EC6120" w:rsidRDefault="00EC6120" w:rsidP="00EC6120">
      <w:pPr>
        <w:jc w:val="right"/>
        <w:rPr>
          <w:u w:val="single"/>
        </w:rPr>
      </w:pPr>
      <w:r>
        <w:rPr>
          <w:bCs/>
        </w:rPr>
        <w:lastRenderedPageBreak/>
        <w:t>Утвержден</w:t>
      </w:r>
    </w:p>
    <w:p w:rsidR="00EC6120" w:rsidRDefault="00EC6120" w:rsidP="00EC6120">
      <w:pPr>
        <w:jc w:val="right"/>
        <w:rPr>
          <w:bCs/>
        </w:rPr>
      </w:pPr>
      <w:r>
        <w:rPr>
          <w:bCs/>
        </w:rPr>
        <w:t xml:space="preserve">Постановлением администрации                                                                                                                                                                    </w:t>
      </w:r>
    </w:p>
    <w:p w:rsidR="00EC6120" w:rsidRDefault="00EC6120" w:rsidP="00EC6120">
      <w:pPr>
        <w:jc w:val="right"/>
        <w:rPr>
          <w:bCs/>
        </w:rPr>
      </w:pPr>
      <w:r>
        <w:rPr>
          <w:bCs/>
        </w:rPr>
        <w:t>Борского сельского поселения</w:t>
      </w:r>
    </w:p>
    <w:p w:rsidR="00EC6120" w:rsidRDefault="00EC6120" w:rsidP="00EC6120">
      <w:pPr>
        <w:jc w:val="right"/>
        <w:rPr>
          <w:bCs/>
        </w:rPr>
      </w:pPr>
      <w:r>
        <w:rPr>
          <w:bCs/>
        </w:rPr>
        <w:t xml:space="preserve">от </w:t>
      </w:r>
      <w:r>
        <w:rPr>
          <w:bCs/>
        </w:rPr>
        <w:t>_____</w:t>
      </w:r>
      <w:r>
        <w:rPr>
          <w:bCs/>
        </w:rPr>
        <w:t xml:space="preserve">.2022 № </w:t>
      </w:r>
      <w:r>
        <w:rPr>
          <w:bCs/>
        </w:rPr>
        <w:t xml:space="preserve">   _____</w:t>
      </w:r>
    </w:p>
    <w:p w:rsidR="00EC6120" w:rsidRDefault="00EC6120" w:rsidP="00EC6120">
      <w:pPr>
        <w:jc w:val="right"/>
        <w:rPr>
          <w:bCs/>
        </w:rPr>
      </w:pPr>
    </w:p>
    <w:p w:rsidR="00EC6120" w:rsidRDefault="00EC6120" w:rsidP="00EC6120">
      <w:pPr>
        <w:jc w:val="right"/>
        <w:rPr>
          <w:bCs/>
        </w:rPr>
      </w:pP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C01222" w:rsidRPr="001C7391" w:rsidRDefault="00EC6120" w:rsidP="00B10C4D">
      <w:pPr>
        <w:jc w:val="center"/>
        <w:rPr>
          <w:bCs/>
          <w:sz w:val="28"/>
          <w:szCs w:val="28"/>
        </w:rPr>
      </w:pPr>
      <w:r w:rsidRPr="00BD3D55">
        <w:rPr>
          <w:b/>
          <w:bCs/>
          <w:sz w:val="28"/>
          <w:szCs w:val="28"/>
        </w:rPr>
        <w:t xml:space="preserve"> </w:t>
      </w:r>
      <w:r w:rsidR="00342981" w:rsidRPr="001C7391">
        <w:rPr>
          <w:b/>
          <w:bCs/>
          <w:sz w:val="28"/>
          <w:szCs w:val="28"/>
        </w:rPr>
        <w:t xml:space="preserve">по разработке административного регламента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05578C" w:rsidRPr="0005578C" w:rsidRDefault="0005578C" w:rsidP="00A625CE">
      <w:pPr>
        <w:jc w:val="center"/>
        <w:rPr>
          <w:bCs/>
          <w:sz w:val="28"/>
          <w:szCs w:val="28"/>
        </w:rPr>
      </w:pPr>
      <w:r w:rsidRPr="0005578C">
        <w:rPr>
          <w:bCs/>
          <w:sz w:val="28"/>
          <w:szCs w:val="28"/>
        </w:rPr>
        <w:t>(на основ</w:t>
      </w:r>
      <w:r w:rsidR="00CC35E2">
        <w:rPr>
          <w:bCs/>
          <w:sz w:val="28"/>
          <w:szCs w:val="28"/>
        </w:rPr>
        <w:t>е</w:t>
      </w:r>
      <w:r w:rsidRPr="0005578C">
        <w:rPr>
          <w:bCs/>
          <w:sz w:val="28"/>
          <w:szCs w:val="28"/>
        </w:rPr>
        <w:t xml:space="preserve"> типового административного регламента)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законные представители (родители, усыновители, опекуны) несовершеннолетних </w:t>
      </w:r>
      <w:proofErr w:type="gramStart"/>
      <w:r w:rsidRPr="006E7BC4">
        <w:rPr>
          <w:rFonts w:eastAsia="Calibri"/>
          <w:sz w:val="28"/>
          <w:szCs w:val="28"/>
        </w:rPr>
        <w:t>в</w:t>
      </w:r>
      <w:proofErr w:type="gramEnd"/>
      <w:r w:rsidRPr="006E7BC4">
        <w:rPr>
          <w:rFonts w:eastAsia="Calibri"/>
          <w:sz w:val="28"/>
          <w:szCs w:val="28"/>
        </w:rPr>
        <w:t xml:space="preserve"> </w:t>
      </w:r>
      <w:proofErr w:type="gramStart"/>
      <w:r w:rsidRPr="006E7BC4">
        <w:rPr>
          <w:rFonts w:eastAsia="Calibri"/>
          <w:sz w:val="28"/>
          <w:szCs w:val="28"/>
        </w:rPr>
        <w:t>возрасте</w:t>
      </w:r>
      <w:proofErr w:type="gramEnd"/>
      <w:r w:rsidRPr="006E7BC4">
        <w:rPr>
          <w:rFonts w:eastAsia="Calibri"/>
          <w:sz w:val="28"/>
          <w:szCs w:val="28"/>
        </w:rPr>
        <w:t xml:space="preserve">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EC6120" w:rsidRDefault="006E7BC4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 администрации муниципального образования</w:t>
      </w:r>
    </w:p>
    <w:p w:rsidR="00EC6120" w:rsidRDefault="006E7BC4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E7">
        <w:rPr>
          <w:sz w:val="28"/>
          <w:szCs w:val="28"/>
        </w:rPr>
        <w:t xml:space="preserve"> </w:t>
      </w:r>
      <w:r w:rsidR="00EC6120">
        <w:rPr>
          <w:sz w:val="28"/>
          <w:szCs w:val="28"/>
        </w:rPr>
        <w:t>Место нахождения  Ленинградская область, Бокситогорский района, дер. Бор, д.44;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с 8:00 до 17:15 перерыв с 13:00 до 14:00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       с 8:00 до 16:00 перерыв с 13:00 до 14:00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- выходной;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8(81366)29-629; 8(81366)29737;</w:t>
      </w:r>
    </w:p>
    <w:p w:rsidR="006E7BC4" w:rsidRPr="0005578C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Факс: 8(81366)29737;</w:t>
      </w:r>
      <w:r>
        <w:rPr>
          <w:sz w:val="28"/>
          <w:szCs w:val="28"/>
        </w:rPr>
        <w:t xml:space="preserve"> </w:t>
      </w:r>
      <w:r w:rsidRPr="00261CA5">
        <w:rPr>
          <w:sz w:val="28"/>
          <w:szCs w:val="28"/>
        </w:rPr>
        <w:t xml:space="preserve">Адрес электронной почты Администрации: </w:t>
      </w:r>
      <w:hyperlink r:id="rId9" w:history="1">
        <w:r w:rsidRPr="00261CA5">
          <w:rPr>
            <w:rStyle w:val="af4"/>
          </w:rPr>
          <w:t>BSPbok@yandex.ru</w:t>
        </w:r>
      </w:hyperlink>
      <w:r w:rsidRPr="00261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7BC4"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="006E7BC4"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="006E7BC4" w:rsidRPr="0005578C">
        <w:rPr>
          <w:rFonts w:eastAsia="Calibri"/>
          <w:sz w:val="28"/>
          <w:szCs w:val="28"/>
        </w:rPr>
        <w:t xml:space="preserve"> многофункциональными </w:t>
      </w:r>
      <w:r w:rsidR="006E7BC4" w:rsidRPr="0005578C">
        <w:rPr>
          <w:rFonts w:eastAsia="Calibri"/>
          <w:sz w:val="28"/>
          <w:szCs w:val="28"/>
        </w:rPr>
        <w:lastRenderedPageBreak/>
        <w:t xml:space="preserve">центрами предоставления государственных и муниципальных услуг, </w:t>
      </w:r>
      <w:r w:rsidR="006E7BC4"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="006E7BC4"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Администрация</w:t>
      </w:r>
      <w:r w:rsidR="00EC6120" w:rsidRPr="00EC6120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</w:t>
      </w:r>
      <w:r w:rsidR="001F2D6D" w:rsidRPr="00EC6120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lastRenderedPageBreak/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</w:t>
      </w:r>
      <w:r w:rsidRPr="00B03841">
        <w:rPr>
          <w:sz w:val="28"/>
          <w:szCs w:val="28"/>
        </w:rPr>
        <w:lastRenderedPageBreak/>
        <w:t xml:space="preserve">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EC6120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120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EC6120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EC6120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120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4</w:t>
      </w:r>
      <w:r w:rsidR="007F5559" w:rsidRPr="00EC6120">
        <w:rPr>
          <w:sz w:val="28"/>
          <w:szCs w:val="28"/>
        </w:rPr>
        <w:t xml:space="preserve">) </w:t>
      </w:r>
      <w:r w:rsidR="00B123B3" w:rsidRPr="00EC6120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EC6120">
        <w:rPr>
          <w:sz w:val="28"/>
          <w:szCs w:val="28"/>
        </w:rPr>
        <w:t>перепланируемое</w:t>
      </w:r>
      <w:proofErr w:type="spellEnd"/>
      <w:r w:rsidR="00B123B3" w:rsidRPr="00EC6120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EC6120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</w:t>
      </w:r>
      <w:r w:rsidR="000679D3" w:rsidRPr="00A22A8F">
        <w:rPr>
          <w:sz w:val="28"/>
          <w:szCs w:val="28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Pr="00C87F19">
        <w:rPr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</w:t>
      </w:r>
      <w:r w:rsidRPr="00C87F19">
        <w:rPr>
          <w:szCs w:val="28"/>
        </w:rPr>
        <w:lastRenderedPageBreak/>
        <w:t>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EC6120">
        <w:rPr>
          <w:color w:val="000000" w:themeColor="text1"/>
          <w:sz w:val="28"/>
          <w:szCs w:val="28"/>
        </w:rPr>
        <w:t>котор</w:t>
      </w:r>
      <w:r w:rsidR="00695DA5" w:rsidRPr="00EC6120">
        <w:rPr>
          <w:color w:val="000000" w:themeColor="text1"/>
          <w:sz w:val="28"/>
          <w:szCs w:val="28"/>
        </w:rPr>
        <w:t>ом</w:t>
      </w:r>
      <w:r w:rsidR="0002280D" w:rsidRPr="00EC6120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EC6120">
        <w:rPr>
          <w:color w:val="000000" w:themeColor="text1"/>
          <w:sz w:val="28"/>
          <w:szCs w:val="28"/>
        </w:rPr>
        <w:t>й центр</w:t>
      </w:r>
      <w:r w:rsidR="0002280D" w:rsidRPr="00EC6120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</w:t>
      </w:r>
      <w:r w:rsidRPr="00C87F19">
        <w:rPr>
          <w:sz w:val="28"/>
          <w:szCs w:val="28"/>
        </w:rPr>
        <w:lastRenderedPageBreak/>
        <w:t>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EC612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 xml:space="preserve"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</w:t>
      </w:r>
      <w:r w:rsidRPr="00EC6120">
        <w:rPr>
          <w:sz w:val="28"/>
          <w:szCs w:val="28"/>
        </w:rPr>
        <w:lastRenderedPageBreak/>
        <w:t>или нежилого помещения).</w:t>
      </w:r>
    </w:p>
    <w:p w:rsidR="00CB078C" w:rsidRPr="00EC6120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EC6120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EC6120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EC6120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EC6120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EC6120">
        <w:rPr>
          <w:sz w:val="28"/>
          <w:szCs w:val="28"/>
        </w:rPr>
        <w:t xml:space="preserve"> и администрацией. </w:t>
      </w:r>
    </w:p>
    <w:p w:rsidR="00CB078C" w:rsidRPr="00EC6120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EC6120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</w:t>
      </w:r>
      <w:r w:rsidRPr="00EC6120">
        <w:rPr>
          <w:rFonts w:eastAsia="Calibri"/>
          <w:sz w:val="28"/>
          <w:szCs w:val="28"/>
        </w:rPr>
        <w:t xml:space="preserve">соответствии с </w:t>
      </w:r>
      <w:r w:rsidR="00760906" w:rsidRPr="00EC6120">
        <w:rPr>
          <w:sz w:val="28"/>
          <w:szCs w:val="28"/>
        </w:rPr>
        <w:t xml:space="preserve">должностной </w:t>
      </w:r>
      <w:r w:rsidR="00760906" w:rsidRPr="00EC6120">
        <w:rPr>
          <w:sz w:val="28"/>
          <w:szCs w:val="28"/>
        </w:rPr>
        <w:lastRenderedPageBreak/>
        <w:t>инструкцией</w:t>
      </w:r>
      <w:r w:rsidRPr="00EC6120">
        <w:rPr>
          <w:rFonts w:eastAsia="Calibri"/>
          <w:sz w:val="28"/>
          <w:szCs w:val="28"/>
        </w:rPr>
        <w:t xml:space="preserve"> функциями, формирует комплект документов, поступивших в электронно</w:t>
      </w:r>
      <w:r w:rsidR="00026285" w:rsidRPr="00EC6120">
        <w:rPr>
          <w:rFonts w:eastAsia="Calibri"/>
          <w:sz w:val="28"/>
          <w:szCs w:val="28"/>
        </w:rPr>
        <w:t>й форме</w:t>
      </w:r>
      <w:r w:rsidRPr="00EC6120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C6120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</w:t>
      </w:r>
      <w:r w:rsidRPr="00493DE9">
        <w:rPr>
          <w:rFonts w:eastAsia="Calibri"/>
          <w:sz w:val="28"/>
          <w:szCs w:val="28"/>
        </w:rPr>
        <w:t>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EC6120">
        <w:rPr>
          <w:szCs w:val="28"/>
        </w:rPr>
        <w:t>3.1.2.4. Критерием принятия решения</w:t>
      </w:r>
      <w:r w:rsidR="002C723C" w:rsidRPr="00EC6120">
        <w:rPr>
          <w:szCs w:val="28"/>
        </w:rPr>
        <w:t xml:space="preserve">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lastRenderedPageBreak/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</w:t>
      </w:r>
      <w:r w:rsidRPr="00A72F4F">
        <w:rPr>
          <w:sz w:val="28"/>
          <w:szCs w:val="28"/>
        </w:rPr>
        <w:lastRenderedPageBreak/>
        <w:t>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</w:t>
      </w:r>
      <w:r w:rsidR="006C33EC" w:rsidRPr="00EC6120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</w:t>
      </w:r>
      <w:r w:rsidRPr="00A72F4F">
        <w:rPr>
          <w:sz w:val="28"/>
          <w:szCs w:val="28"/>
        </w:rPr>
        <w:lastRenderedPageBreak/>
        <w:t>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- за действия (бездействие), влекущие нарушение прав и законных интересов </w:t>
      </w:r>
      <w:r w:rsidRPr="00F05D9F">
        <w:rPr>
          <w:szCs w:val="28"/>
        </w:rPr>
        <w:lastRenderedPageBreak/>
        <w:t>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F05D9F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lastRenderedPageBreak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</w:t>
      </w:r>
      <w:r w:rsidRPr="00F05D9F">
        <w:rPr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 окончании приема документов работник ГБУ ЛО «МФЦ» выдает </w:t>
      </w:r>
      <w:r w:rsidRPr="00F05D9F">
        <w:rPr>
          <w:sz w:val="28"/>
          <w:szCs w:val="28"/>
        </w:rPr>
        <w:lastRenderedPageBreak/>
        <w:t>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  <w:proofErr w:type="gramEnd"/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</w:t>
      </w:r>
      <w:proofErr w:type="spellStart"/>
      <w:r w:rsidRPr="00F05D9F">
        <w:rPr>
          <w:sz w:val="28"/>
          <w:szCs w:val="28"/>
        </w:rPr>
        <w:t>заявителюСрок</w:t>
      </w:r>
      <w:proofErr w:type="spellEnd"/>
      <w:r w:rsidRPr="00F05D9F">
        <w:rPr>
          <w:sz w:val="28"/>
          <w:szCs w:val="28"/>
        </w:rPr>
        <w:t xml:space="preserve">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  <w:proofErr w:type="gramEnd"/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Pr="00EC6120" w:rsidRDefault="00F05D9F" w:rsidP="00A625CE">
      <w:pPr>
        <w:pStyle w:val="ConsPlusNormal"/>
        <w:jc w:val="right"/>
        <w:rPr>
          <w:rFonts w:ascii="Times New Roman" w:hAnsi="Times New Roman" w:cs="Times New Roman"/>
        </w:rPr>
      </w:pPr>
      <w:r w:rsidRPr="00EC6120">
        <w:rPr>
          <w:rFonts w:ascii="Times New Roman" w:hAnsi="Times New Roman" w:cs="Times New Roman"/>
        </w:rPr>
        <w:t>к административному регламенту</w:t>
      </w:r>
    </w:p>
    <w:p w:rsidR="002C72BE" w:rsidRDefault="002C72BE" w:rsidP="00F05D9F">
      <w:pPr>
        <w:ind w:right="15"/>
        <w:jc w:val="right"/>
      </w:pPr>
      <w:bookmarkStart w:id="11" w:name="_GoBack"/>
      <w:bookmarkEnd w:id="11"/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364C63" w:rsidRDefault="00364C63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20"/>
      <w:headerReference w:type="default" r:id="rId21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92" w:rsidRDefault="00237392">
      <w:r>
        <w:separator/>
      </w:r>
    </w:p>
  </w:endnote>
  <w:endnote w:type="continuationSeparator" w:id="0">
    <w:p w:rsidR="00237392" w:rsidRDefault="0023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92" w:rsidRDefault="00237392">
      <w:r>
        <w:separator/>
      </w:r>
    </w:p>
  </w:footnote>
  <w:footnote w:type="continuationSeparator" w:id="0">
    <w:p w:rsidR="00237392" w:rsidRDefault="0023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6120">
      <w:rPr>
        <w:rStyle w:val="a9"/>
        <w:noProof/>
      </w:rPr>
      <w:t>28</w: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37392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C6120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C6120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бычный1 Знак"/>
    <w:basedOn w:val="a0"/>
    <w:link w:val="13"/>
    <w:uiPriority w:val="99"/>
    <w:locked/>
    <w:rsid w:val="00EC6120"/>
    <w:rPr>
      <w:rFonts w:ascii="Arial" w:hAnsi="Arial" w:cs="Arial"/>
      <w:sz w:val="18"/>
      <w:szCs w:val="18"/>
    </w:rPr>
  </w:style>
  <w:style w:type="paragraph" w:customStyle="1" w:styleId="13">
    <w:name w:val="Обычный1"/>
    <w:link w:val="12"/>
    <w:uiPriority w:val="99"/>
    <w:rsid w:val="00EC6120"/>
    <w:pPr>
      <w:snapToGrid w:val="0"/>
    </w:pPr>
    <w:rPr>
      <w:rFonts w:ascii="Arial" w:hAnsi="Arial" w:cs="Arial"/>
      <w:sz w:val="18"/>
      <w:szCs w:val="18"/>
    </w:rPr>
  </w:style>
  <w:style w:type="character" w:customStyle="1" w:styleId="dropdown-user-name">
    <w:name w:val="dropdown-user-name"/>
    <w:basedOn w:val="a0"/>
    <w:uiPriority w:val="99"/>
    <w:rsid w:val="00EC61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C6120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бычный1 Знак"/>
    <w:basedOn w:val="a0"/>
    <w:link w:val="13"/>
    <w:uiPriority w:val="99"/>
    <w:locked/>
    <w:rsid w:val="00EC6120"/>
    <w:rPr>
      <w:rFonts w:ascii="Arial" w:hAnsi="Arial" w:cs="Arial"/>
      <w:sz w:val="18"/>
      <w:szCs w:val="18"/>
    </w:rPr>
  </w:style>
  <w:style w:type="paragraph" w:customStyle="1" w:styleId="13">
    <w:name w:val="Обычный1"/>
    <w:link w:val="12"/>
    <w:uiPriority w:val="99"/>
    <w:rsid w:val="00EC6120"/>
    <w:pPr>
      <w:snapToGrid w:val="0"/>
    </w:pPr>
    <w:rPr>
      <w:rFonts w:ascii="Arial" w:hAnsi="Arial" w:cs="Arial"/>
      <w:sz w:val="18"/>
      <w:szCs w:val="18"/>
    </w:rPr>
  </w:style>
  <w:style w:type="character" w:customStyle="1" w:styleId="dropdown-user-name">
    <w:name w:val="dropdown-user-name"/>
    <w:basedOn w:val="a0"/>
    <w:uiPriority w:val="99"/>
    <w:rsid w:val="00EC61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Pbok@yandex.ru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A63F-E2A5-4718-BF2E-78124316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10233</Words>
  <Characters>58331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68428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6</cp:revision>
  <cp:lastPrinted>2011-08-19T11:36:00Z</cp:lastPrinted>
  <dcterms:created xsi:type="dcterms:W3CDTF">2022-08-02T14:55:00Z</dcterms:created>
  <dcterms:modified xsi:type="dcterms:W3CDTF">2022-09-12T09:13:00Z</dcterms:modified>
</cp:coreProperties>
</file>